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D33A18" w:rsidTr="00701441">
        <w:tc>
          <w:tcPr>
            <w:tcW w:w="1985" w:type="dxa"/>
            <w:shd w:val="clear" w:color="auto" w:fill="auto"/>
          </w:tcPr>
          <w:p w:rsidR="00C27E1C" w:rsidRPr="00657CFA" w:rsidRDefault="00D33A18" w:rsidP="00701441">
            <w:pPr>
              <w:ind w:firstLine="176"/>
            </w:pPr>
            <w:r w:rsidRPr="00D33A18">
              <w:rPr>
                <w:noProof/>
                <w:lang w:val="ru-RU" w:eastAsia="ru-RU"/>
              </w:rPr>
              <w:drawing>
                <wp:inline distT="0" distB="0" distL="0" distR="0" wp14:anchorId="209741DE" wp14:editId="65C69A9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D33A1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D33A18" w:rsidRDefault="00C27E1C" w:rsidP="00701441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33A18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C27E1C" w:rsidRPr="00D33A18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D33A18" w:rsidRDefault="00C27E1C" w:rsidP="00C27E1C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D33A18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33A18" w:rsidRPr="00D33A18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15D7A" w:rsidRPr="00795572" w:rsidRDefault="00315D7A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D7A" w:rsidRDefault="00C27E1C" w:rsidP="00315D7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D33A18" w:rsidRDefault="00315D7A" w:rsidP="00315D7A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D33A1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специальности</w:t>
      </w: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212"/>
        <w:gridCol w:w="2423"/>
        <w:gridCol w:w="1233"/>
        <w:gridCol w:w="1754"/>
        <w:gridCol w:w="32"/>
        <w:gridCol w:w="1219"/>
        <w:gridCol w:w="2114"/>
        <w:gridCol w:w="423"/>
        <w:gridCol w:w="682"/>
        <w:gridCol w:w="6"/>
        <w:gridCol w:w="6"/>
        <w:gridCol w:w="6"/>
        <w:gridCol w:w="6"/>
      </w:tblGrid>
      <w:tr w:rsidR="00BD3061" w:rsidTr="004B3338">
        <w:trPr>
          <w:trHeight w:val="500"/>
        </w:trPr>
        <w:tc>
          <w:tcPr>
            <w:tcW w:w="1013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3061" w:rsidRPr="00921062" w:rsidTr="004B33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3061" w:rsidRPr="00921062" w:rsidRDefault="009A3458" w:rsidP="004B333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:rsidR="00BD3061" w:rsidRPr="00921062" w:rsidRDefault="00BD3061" w:rsidP="004B333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</w:tr>
      <w:tr w:rsidR="00BD3061" w:rsidTr="004B3338">
        <w:trPr>
          <w:trHeight w:val="347"/>
        </w:trPr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21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242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1232" w:type="dxa"/>
          </w:tcPr>
          <w:p w:rsidR="00BD3061" w:rsidRPr="002E721C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BD3061" w:rsidRPr="004B3338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8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</w:tr>
      <w:tr w:rsidR="00BD3061" w:rsidRPr="00921062" w:rsidTr="004B3338">
        <w:trPr>
          <w:trHeight w:val="425"/>
        </w:trPr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1012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3061" w:rsidRPr="00921062" w:rsidTr="004B33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338" w:rsidRDefault="004B3338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валификация</w:t>
                  </w:r>
                  <w:proofErr w:type="spellEnd"/>
                  <w:r w:rsidR="00BD3061" w:rsidRPr="0092106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выпускника</w:t>
                  </w:r>
                  <w:proofErr w:type="spellEnd"/>
                  <w:r w:rsidR="00BD3061" w:rsidRPr="009210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BD3061" w:rsidRPr="00D42F16" w:rsidRDefault="00BD3061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42F16">
                    <w:rPr>
                      <w:color w:val="000000"/>
                      <w:sz w:val="28"/>
                      <w:szCs w:val="28"/>
                      <w:lang w:val="ru-RU"/>
                    </w:rPr>
                    <w:t>Юрист</w:t>
                  </w:r>
                </w:p>
                <w:p w:rsidR="00BD3061" w:rsidRPr="00921062" w:rsidRDefault="00BD3061" w:rsidP="004B333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</w:tr>
    </w:tbl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434E72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2023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D33A18">
        <w:rPr>
          <w:sz w:val="28"/>
          <w:szCs w:val="28"/>
          <w:lang w:val="ru-RU"/>
        </w:rPr>
        <w:t>5</w:t>
      </w:r>
    </w:p>
    <w:p w:rsidR="009757F0" w:rsidRDefault="009757F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434E7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34E7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B3338" w:rsidRDefault="00BB7F05" w:rsidP="004B3338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315D7A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Правоохранительная деятельность, утвержденного приказом </w:t>
                  </w:r>
                  <w:proofErr w:type="spellStart"/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509.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434E72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434E72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34E7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34E7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34E72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Pr="00452C82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33A18" w:rsidRPr="00D33A18" w:rsidRDefault="00AA4435" w:rsidP="00D33A1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eastAsia="Microsoft Sans Serif"/>
          <w:color w:val="000000"/>
          <w:sz w:val="28"/>
          <w:szCs w:val="28"/>
          <w:lang w:val="ru-RU" w:eastAsia="ru-RU" w:bidi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15D7A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315D7A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D33A18" w:rsidRPr="00D33A18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от </w:t>
      </w:r>
      <w:r w:rsidR="00D33A18" w:rsidRPr="00D33A18">
        <w:rPr>
          <w:rFonts w:eastAsia="Calibri"/>
          <w:sz w:val="28"/>
          <w:szCs w:val="28"/>
          <w:lang w:val="ru-RU"/>
        </w:rPr>
        <w:t>28 мая 2025 г. № 9.</w:t>
      </w:r>
    </w:p>
    <w:p w:rsidR="00AA4435" w:rsidRPr="00452C82" w:rsidRDefault="00AA4435" w:rsidP="00D33A1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 xml:space="preserve">ОБЩАЯ ХАРАКТЕРИСТИКА РАБОЧЕЙ ПРОГРАММЫ ОБЩЕОБРАЗОВАТЕЛЬНОЙ </w:t>
      </w:r>
      <w:r w:rsidR="00315D7A">
        <w:rPr>
          <w:b/>
          <w:sz w:val="28"/>
          <w:szCs w:val="28"/>
          <w:lang w:val="ru-RU"/>
        </w:rPr>
        <w:t>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031B5C" w:rsidRPr="00031B5C" w:rsidRDefault="001E1F45" w:rsidP="004B33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A3458">
        <w:rPr>
          <w:color w:val="000000"/>
          <w:sz w:val="28"/>
          <w:szCs w:val="28"/>
          <w:lang w:val="ru-RU"/>
        </w:rPr>
        <w:t>40.02.02 Правоохранительная деятельность.</w:t>
      </w:r>
    </w:p>
    <w:p w:rsidR="00AB161A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315D7A" w:rsidRDefault="00A20BA9" w:rsidP="004B333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15D7A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434E72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434E72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2928D1" w:rsidTr="00733138">
        <w:tc>
          <w:tcPr>
            <w:tcW w:w="10841" w:type="dxa"/>
            <w:gridSpan w:val="2"/>
          </w:tcPr>
          <w:p w:rsidR="002928D1" w:rsidRPr="00151D0D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2928D1" w:rsidRDefault="002928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2928D1" w:rsidRDefault="002928D1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434E72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34E72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34E72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34E72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EC78FE">
        <w:tc>
          <w:tcPr>
            <w:tcW w:w="10841" w:type="dxa"/>
            <w:gridSpan w:val="2"/>
          </w:tcPr>
          <w:p w:rsidR="002928D1" w:rsidRPr="002928D1" w:rsidRDefault="002928D1" w:rsidP="002928D1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2928D1" w:rsidRPr="00135E08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2928D1" w:rsidRDefault="002928D1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2928D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434E72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434E72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34E7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354575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354575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34E7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4E43DF">
        <w:tc>
          <w:tcPr>
            <w:tcW w:w="10841" w:type="dxa"/>
            <w:gridSpan w:val="2"/>
          </w:tcPr>
          <w:p w:rsidR="002928D1" w:rsidRPr="00DE0F34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2928D1" w:rsidRPr="00DE0F34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2928D1" w:rsidRDefault="002928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2928D1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434E72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2928D1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34E7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34E7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434E72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434E72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434E72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434E72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434E7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434E7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434E7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434E7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434E7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434E72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434E72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434E72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434E72">
                    <w:fldChar w:fldCharType="begin"/>
                  </w:r>
                  <w:r w:rsidR="00434E72" w:rsidRPr="00434E72">
                    <w:rPr>
                      <w:lang w:val="ru-RU"/>
                    </w:rPr>
                    <w:instrText xml:space="preserve"> </w:instrText>
                  </w:r>
                  <w:r w:rsidR="00434E72">
                    <w:instrText>HYPERLINK</w:instrText>
                  </w:r>
                  <w:r w:rsidR="00434E72" w:rsidRPr="00434E72">
                    <w:rPr>
                      <w:lang w:val="ru-RU"/>
                    </w:rPr>
                    <w:instrText xml:space="preserve"> "</w:instrText>
                  </w:r>
                  <w:r w:rsidR="00434E72">
                    <w:instrText>http</w:instrText>
                  </w:r>
                  <w:r w:rsidR="00434E72" w:rsidRPr="00434E72">
                    <w:rPr>
                      <w:lang w:val="ru-RU"/>
                    </w:rPr>
                    <w:instrText>://</w:instrText>
                  </w:r>
                  <w:r w:rsidR="00434E72">
                    <w:instrText>www</w:instrText>
                  </w:r>
                  <w:r w:rsidR="00434E72" w:rsidRPr="00434E72">
                    <w:rPr>
                      <w:lang w:val="ru-RU"/>
                    </w:rPr>
                    <w:instrText>.</w:instrText>
                  </w:r>
                  <w:r w:rsidR="00434E72">
                    <w:instrText>junior</w:instrText>
                  </w:r>
                  <w:r w:rsidR="00434E72" w:rsidRPr="00434E72">
                    <w:rPr>
                      <w:lang w:val="ru-RU"/>
                    </w:rPr>
                    <w:instrText>.</w:instrText>
                  </w:r>
                  <w:r w:rsidR="00434E72">
                    <w:instrText>ru</w:instrText>
                  </w:r>
                  <w:r w:rsidR="00434E72" w:rsidRPr="00434E72">
                    <w:rPr>
                      <w:lang w:val="ru-RU"/>
                    </w:rPr>
                    <w:instrText>/</w:instrText>
                  </w:r>
                  <w:r w:rsidR="00434E72">
                    <w:instrText>wwwexam</w:instrText>
                  </w:r>
                  <w:r w:rsidR="00434E72" w:rsidRPr="00434E72">
                    <w:rPr>
                      <w:lang w:val="ru-RU"/>
                    </w:rPr>
                    <w:instrText xml:space="preserve">/" </w:instrText>
                  </w:r>
                  <w:r w:rsidR="00434E72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434E72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434E7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434E7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7A" w:rsidRDefault="00315D7A" w:rsidP="0008408D">
      <w:r>
        <w:separator/>
      </w:r>
    </w:p>
  </w:endnote>
  <w:endnote w:type="continuationSeparator" w:id="0">
    <w:p w:rsidR="00315D7A" w:rsidRDefault="00315D7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15D7A" w:rsidRDefault="00315D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E72" w:rsidRPr="00434E72">
          <w:rPr>
            <w:noProof/>
            <w:lang w:val="ru-RU"/>
          </w:rPr>
          <w:t>2</w:t>
        </w:r>
        <w:r>
          <w:fldChar w:fldCharType="end"/>
        </w:r>
      </w:p>
    </w:sdtContent>
  </w:sdt>
  <w:p w:rsidR="00315D7A" w:rsidRDefault="00315D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7A" w:rsidRDefault="00315D7A" w:rsidP="0008408D">
      <w:r>
        <w:separator/>
      </w:r>
    </w:p>
  </w:footnote>
  <w:footnote w:type="continuationSeparator" w:id="0">
    <w:p w:rsidR="00315D7A" w:rsidRDefault="00315D7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928D1"/>
    <w:rsid w:val="002B4D88"/>
    <w:rsid w:val="002B577E"/>
    <w:rsid w:val="002D5DEA"/>
    <w:rsid w:val="0030617A"/>
    <w:rsid w:val="00315D7A"/>
    <w:rsid w:val="003172CE"/>
    <w:rsid w:val="00344246"/>
    <w:rsid w:val="00354575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34E72"/>
    <w:rsid w:val="004465CB"/>
    <w:rsid w:val="00450D21"/>
    <w:rsid w:val="004A3F32"/>
    <w:rsid w:val="004B3338"/>
    <w:rsid w:val="004D724A"/>
    <w:rsid w:val="004E41DB"/>
    <w:rsid w:val="004E5253"/>
    <w:rsid w:val="004F77B4"/>
    <w:rsid w:val="005076C5"/>
    <w:rsid w:val="00524AB8"/>
    <w:rsid w:val="00585DB3"/>
    <w:rsid w:val="005B5486"/>
    <w:rsid w:val="005D14D6"/>
    <w:rsid w:val="005E166C"/>
    <w:rsid w:val="005E7550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757F0"/>
    <w:rsid w:val="00987523"/>
    <w:rsid w:val="00995A8D"/>
    <w:rsid w:val="009A3458"/>
    <w:rsid w:val="009A3510"/>
    <w:rsid w:val="009B42C8"/>
    <w:rsid w:val="009E07C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33A18"/>
    <w:rsid w:val="00DB13F1"/>
    <w:rsid w:val="00DD714A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C4E9-3B30-4F7A-BE62-A404E64E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16</cp:revision>
  <dcterms:created xsi:type="dcterms:W3CDTF">2023-06-05T08:22:00Z</dcterms:created>
  <dcterms:modified xsi:type="dcterms:W3CDTF">2025-11-18T03:45:00Z</dcterms:modified>
</cp:coreProperties>
</file>